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fc57b95594c6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25992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1.607.171,92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1.654.474,73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1.086.435,98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1.312.290,62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520.735,94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342.184,11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69.346,19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811.302,96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2.468.852,03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810.667,53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2.399.505,84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612.622,66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2.215.817,94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610.894,12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2.214.348,51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320.962,53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157.026,78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proračuna trošena su racionalno, uz odgovorno upravljanje rashodima i aktivnu politiku naplate prihoda. Osim redovnog praćenja i naplate prihoda, provodile su se i kontinuirane prijave na natejčaje koje raspisuju nadležna ministarstva, županijska tijela i ostali javni izvori financiranja. Tkvim pristupom ostvaren je višak prihoda u promatranom razdoblju u iznosu 157.026,78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545.201,76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219.981,50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na kontu 6331 je evidentirana pomoć za fiskalno izravnanje, dok u 2025. je prema novom kontnom planu fiskalno izravnanje knjiženo na vlastiti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12.106,42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34.597,72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Razlika u odnosu na 2024. godinu je zbog revidiranja baze komunalne naknade prema kojoj je izvršeno zaduženje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31.940,81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109.850,45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konto 3237 u 2025. godini knjiženi su autorski honorari za izvođače na DubravaFestu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332.961,04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806.552,36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Obračunati prihodi poslovanja za 2025. godinu iznose 806.522,36 iz razloga što se knjigovodstveno evidentiralo potraživanje za fiskalno izravnanje prema uputi iz okružnice.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69.147,11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realizirana je prodaja poljoprivrednog zemljišta u državnom vlasništu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739.433,28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2.336.662,28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Glavnina rashoda konta 451 odnosi se na rekonstrukciju i dogradnju Dječjeg vrtića Dubrava.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zajmovi od ostalih tuzemnih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612.622,66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2.215.817,94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Korištena sredstva kredita HBOR-a za financiranje rekonsturkcije i dogradnje dječjeg vrtića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48.146,85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iznosi 48.146,85 iz razloga što je dio obveza evidentiran nakon završetka izvještajnog razdoblja, iako se sadržajno odnosi na to razdoblje. Također unutar ukupno dospjelih obveza  nalaze se i sredstva koja će se kompenzirati najmoprimcima temeljem njihovih ulaganja u imovinu u vlasništvu JLS kroz umanjenje budućih mjesečnih najamnina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c24833f80d4454" /></Relationships>
</file>